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42.png" ContentType="image/png"/>
  <Override PartName="/word/media/rId45.png" ContentType="image/png"/>
  <Override PartName="/word/media/rId43.png" ContentType="image/png"/>
  <Override PartName="/word/media/rId48.png" ContentType="image/png"/>
  <Override PartName="/word/media/rId46.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2020-09-24 13:17:28</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for the purpose of assessing long-term trends for regulatory, management, or scientific purposes. The mismatch between the scales of monitoring versus analysis questions or management goals can lead to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finer temporal scales, environmental systems may show short-term fluctuations from multiple factors (e.g., weather events or seasonal changes) that may not be of direct interest for longer-term trends. General trends may be easily described by simple smoothing or averaging over time, whereas similar analyses that aggregate or generalize observations can create mismatches between questions of trends at finer scales and what is returned by the summarized results. Further, many analysis questions are not easily addressed by simple smoothing methods, particularly when smoothing parameters must be chosen subjectively depending on temporal scales of interest</w:t>
      </w:r>
      <w:r>
        <w:t xml:space="preserve"> </w:t>
      </w:r>
      <w:r>
        <w:t xml:space="preserve">(Enting</w:t>
      </w:r>
      <w:r>
        <w:t xml:space="preserve"> </w:t>
      </w:r>
      <w:hyperlink w:anchor="ref-Enting87">
        <w:r>
          <w:rPr>
            <w:rStyle w:val="Hyperlink"/>
          </w:rPr>
          <w:t xml:space="preserve">1987</w:t>
        </w:r>
      </w:hyperlink>
      <w:r>
        <w:t xml:space="preserve">, Wan et al.</w:t>
      </w:r>
      <w:r>
        <w:t xml:space="preserve"> </w:t>
      </w:r>
      <w:hyperlink w:anchor="ref-Wan17">
        <w:r>
          <w:rPr>
            <w:rStyle w:val="Hyperlink"/>
          </w:rPr>
          <w:t xml:space="preserve">2017</w:t>
        </w:r>
      </w:hyperlink>
      <w:r>
        <w:t xml:space="preserve">)</w:t>
      </w:r>
      <w:r>
        <w:t xml:space="preserve">.</w:t>
      </w:r>
    </w:p>
    <w:p>
      <w:pPr>
        <w:pStyle w:val="BodyText"/>
      </w:pPr>
      <w:r>
        <w:t xml:space="preserve">In this paper we propose analysis methods that separate the signal-extraction of fine-scale data from the trend analysis at longer time-scales, with full propagation of statistical uncertainties between the two analysis stages. For the signal-extraction stage, we use smoothing splines, or the larger framework of generalized additive models (GAMs) that encompasses smoothing splines</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While GAMs are a common statistical method and have been used for trend-analysis of environmental monitoring data</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alternative and more commonly used approaches can entangle the trend-analysis goal with the signal-extraction goal in the formulation of splines. Analysis questions or management goals that require information about non-trivial temporal features, such as across-year trends in timing of within-year seasonal events or baseline levels, may not be amenable to a single GAM formulation. For the trend-analysis stage, error propagation in summary statistics can be addressed using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enabling the application of established tools that incorporate uncertainties in model estimates of summary statistics. This two-stage approach is useful because across-year time-scales of interest can be imposed or estimated explicitly, which contrasts with implicit absorption of time-scales into spline formulations in other methods. For example, across-year smoothing methods can be applied to seasonal averages from the signal-extraction stage while accurately propagating uncertainties. On a practical level, the signal-extraction stage can be viewed as creating a</w:t>
      </w:r>
      <w:r>
        <w:t xml:space="preserve"> </w:t>
      </w:r>
      <w:r>
        <w:t xml:space="preserve">“</w:t>
      </w:r>
      <w:r>
        <w:t xml:space="preserve">data product</w:t>
      </w:r>
      <w:r>
        <w:t xml:space="preserve">”</w:t>
      </w:r>
      <w:r>
        <w:t xml:space="preserve"> </w:t>
      </w:r>
      <w:r>
        <w:t xml:space="preserve">that can be used in second-stage analyses without the difficulty of embedding every long-term trend question in a GAM modeling framework to model the fine-scale fluctuations.</w:t>
      </w:r>
    </w:p>
    <w:p>
      <w:pPr>
        <w:pStyle w:val="BodyText"/>
      </w:pPr>
      <w:r>
        <w:t xml:space="preserve">The smoothing methods under discussion here are distinct from older and more conventional methods of trend detection, such as seasonal Kendall tests or other non-parametric approaches</w:t>
      </w:r>
      <w:r>
        <w:t xml:space="preserve"> </w:t>
      </w:r>
      <w:r>
        <w:t xml:space="preserve">(see Helsel et al.</w:t>
      </w:r>
      <w:r>
        <w:t xml:space="preserve"> </w:t>
      </w:r>
      <w:hyperlink w:anchor="ref-Helsel20">
        <w:r>
          <w:rPr>
            <w:rStyle w:val="Hyperlink"/>
          </w:rPr>
          <w:t xml:space="preserve">2020</w:t>
        </w:r>
      </w:hyperlink>
      <w:r>
        <w:t xml:space="preserve">)</w:t>
      </w:r>
      <w:r>
        <w:t xml:space="preserve">. Kendall tests been used for decades in water quality trend assessments to identify monotonic changes that account for seasonal variation between years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 limitations are such that only the magnitude and direction of a change between selected a priori years can be identified, nor are any quantitative descriptions of changes occurring at different temporal scales explicitly provided. Alternative approaches that decompose a time series into additive or multiplicative components have also been used, such as the seasonal time series composition that isolates a trend, seasonal, and residual component from an observed time series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Although computationally efficient, such approaches may over-simplify trends into absolute components that do not smoothly vary over time, nor do they allow explicit hypothesis testing. More recently, moving window regression approaches have been applied to dynamically estimate parameters that influence temporal changes in water quality time series. The Weighted Regression on Time, Discharge, and Season</w:t>
      </w:r>
      <w:r>
        <w:t xml:space="preserve"> </w:t>
      </w:r>
      <w:r>
        <w:t xml:space="preserve">(WRTDS, 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w:t>
      </w:r>
      <w:r>
        <w:t xml:space="preserve"> </w:t>
      </w:r>
      <w:r>
        <w:t xml:space="preserve">method can describe multi-decadal changes by estimating effects of the predictors that are specific to a given season, year, and flow regime. The approach provides results that are comparable to non-linear, spline-based methods, although at the expense of computation time and uncertainty estimates that are not easily obtainable</w:t>
      </w:r>
      <w:r>
        <w:t xml:space="preserve"> </w:t>
      </w:r>
      <w:r>
        <w:t xml:space="preserve">(Beck and Murphy</w:t>
      </w:r>
      <w:r>
        <w:t xml:space="preserve"> </w:t>
      </w:r>
      <w:hyperlink w:anchor="ref-Beck17">
        <w:r>
          <w:rPr>
            <w:rStyle w:val="Hyperlink"/>
          </w:rPr>
          <w:t xml:space="preserve">2017</w:t>
        </w:r>
      </w:hyperlink>
      <w:r>
        <w:t xml:space="preserve">)</w:t>
      </w:r>
      <w:r>
        <w:t xml:space="preserve">.</w:t>
      </w:r>
    </w:p>
    <w:p>
      <w:pPr>
        <w:pStyle w:val="BodyText"/>
      </w:pPr>
      <w:r>
        <w:t xml:space="preserve">GAMs have only recently been applied to trend analysis of water quality time-series, particularly in the evaluation of multi-decadal time series from long-term monitoring programs. The Chesapeake Bay Program has developed and integrated GAM methods into routine reporting assessments to track and understand long-term changes in nutrients and other eutrophication indicators</w:t>
      </w:r>
      <w:r>
        <w:t xml:space="preserve"> </w:t>
      </w:r>
      <w:r>
        <w:t xml:space="preserve">(Murphy et al.</w:t>
      </w:r>
      <w:r>
        <w:t xml:space="preserve"> </w:t>
      </w:r>
      <w:hyperlink w:anchor="ref-Murphy19">
        <w:r>
          <w:rPr>
            <w:rStyle w:val="Hyperlink"/>
          </w:rPr>
          <w:t xml:space="preserve">2019</w:t>
        </w:r>
      </w:hyperlink>
      <w:r>
        <w:t xml:space="preserve">)</w:t>
      </w:r>
      <w:r>
        <w:t xml:space="preserve">. Central to their method is flexibility in describing the individual components of the time series with varying levels of complexity, including modeling additive annual and seasonal changes and the interaction between the two. Post-hoc methods were also integrated into the GAM framework to address regionally-specific programmatic questions, such as an assessment of GAM fit before/after a management or policy intervention of interest (e.g., impoundment removal or point-source control). Other studies have addressed specific technical issues of applying GAMs to environmental time series, such as appropriate transformations for response variables, accounting for back-transformation bias</w:t>
      </w:r>
      <w:r>
        <w:t xml:space="preserve"> </w:t>
      </w:r>
      <w:r>
        <w:t xml:space="preserve">(Yang and Moyer</w:t>
      </w:r>
      <w:r>
        <w:t xml:space="preserve"> </w:t>
      </w:r>
      <w:hyperlink w:anchor="ref-Yang20">
        <w:r>
          <w:rPr>
            <w:rStyle w:val="Hyperlink"/>
          </w:rPr>
          <w:t xml:space="preserve">2020</w:t>
        </w:r>
      </w:hyperlink>
      <w:r>
        <w:t xml:space="preserve">)</w:t>
      </w:r>
      <w:r>
        <w:t xml:space="preserve">, addressing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or addressing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 Many applications have also evaluated GAMs or other non-linear smoothing methods to account for confounding effects of flow or hydrology changes on trend analysis</w:t>
      </w:r>
      <w:r>
        <w:t xml:space="preserve"> </w:t>
      </w:r>
      <w:r>
        <w:t xml:space="preserve">(Hirsch et al.</w:t>
      </w:r>
      <w:r>
        <w:t xml:space="preserve"> </w:t>
      </w:r>
      <w:hyperlink w:anchor="ref-Hirsch10">
        <w:r>
          <w:rPr>
            <w:rStyle w:val="Hyperlink"/>
          </w:rPr>
          <w:t xml:space="preserve">2010</w:t>
        </w:r>
      </w:hyperlink>
      <w:r>
        <w:t xml:space="preserve">, Haraguchi et al.</w:t>
      </w:r>
      <w:r>
        <w:t xml:space="preserve"> </w:t>
      </w:r>
      <w:hyperlink w:anchor="ref-Haraguchi15">
        <w:r>
          <w:rPr>
            <w:rStyle w:val="Hyperlink"/>
          </w:rPr>
          <w:t xml:space="preserve">2015</w:t>
        </w:r>
      </w:hyperlink>
      <w:r>
        <w:t xml:space="preserve">, Beck and Murphy</w:t>
      </w:r>
      <w:r>
        <w:t xml:space="preserve"> </w:t>
      </w:r>
      <w:hyperlink w:anchor="ref-Beck17">
        <w:r>
          <w:rPr>
            <w:rStyle w:val="Hyperlink"/>
          </w:rPr>
          <w:t xml:space="preserve">2017</w:t>
        </w:r>
      </w:hyperlink>
      <w:r>
        <w:t xml:space="preserve">, Wan et al.</w:t>
      </w:r>
      <w:r>
        <w:t xml:space="preserve"> </w:t>
      </w:r>
      <w:hyperlink w:anchor="ref-Wan17">
        <w:r>
          <w:rPr>
            <w:rStyle w:val="Hyperlink"/>
          </w:rPr>
          <w:t xml:space="preserve">2017</w:t>
        </w:r>
      </w:hyperlink>
      <w:r>
        <w:t xml:space="preserve">)</w:t>
      </w:r>
    </w:p>
    <w:p>
      <w:pPr>
        <w:pStyle w:val="BodyText"/>
      </w:pPr>
      <w:r>
        <w:t xml:space="preserve">Although our approach is not the first to apply GAMs for trend analysis of environmental monitoring data, our approach is distinct from previous applications in several ways. First, some approaches use the GAM smoothing functions to approximate components of a time series to estimate average conditions for a finite period of time. This can represent a mismatch between processes occurring at different time scales and does not make sense as an estimation method if, for example, a seasonal treatment factor is not an explicit component of the time series. Second, some approaches formulate GAMs with multiple spline terms to decompose time-scales of fluctuations within the boundaries of the GAM estimation methods. There may be some analysis questions for which this is appropriate, but it is less general than our approach and it goes against caution of</w:t>
      </w:r>
      <w:r>
        <w:t xml:space="preserve"> </w:t>
      </w:r>
      <w:r>
        <w:t xml:space="preserve">Wood (</w:t>
      </w:r>
      <w:hyperlink w:anchor="ref-Wood17">
        <w:r>
          <w:rPr>
            <w:rStyle w:val="Hyperlink"/>
          </w:rPr>
          <w:t xml:space="preserve">2017</w:t>
        </w:r>
      </w:hyperlink>
      <w:r>
        <w:t xml:space="preserve">)</w:t>
      </w:r>
      <w:r>
        <w:t xml:space="preserve"> </w:t>
      </w:r>
      <w:r>
        <w:t xml:space="preserve">that the degrees of smoothness attributed to multiple splines can be confounded. Perhaps more important, this approach risks obscuring the different time-scales implicit in choices such as an appropriate number of spline knots, leaving the rendering results more difficult to interpret. Third, over-confidence in conclusions derived from insufficient treatment of model uncertainty, including prorogation to secondary analyses, can lead to misinformed decisions. GAM applications to environmental monitoring data have not fully treated error propagation as a fundamental requirement for decision-making, which can lead to wrong decisions with expensive consequences.</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chloropyll levels change? Are there significant across-year trends in within-year timing of the spring bloom in chlorophyll or in baseline levels during periods of low productivity? We also contrast different GAM formulations that can yield similar signal-extraction results but carry somewhat different interpretations. The approach we give for using meta-analysis methods as a second stage of analysis following signal extraction with GAMs appears to be new to environmental trend-detection problems. For this step, we give methods for isolating seasonal trends secondarily from GAM results with reasonable certainty and evaluating these trends between year.</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basic structural form of a Generalized Additive Model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intercept term</w:t>
      </w:r>
      <w:r>
        <w:t xml:space="preserve"> </w:t>
      </w:r>
      <m:oMath>
        <m:sSub>
          <m:e>
            <m:r>
              <m:t>s</m:t>
            </m:r>
          </m:e>
          <m:sub>
            <m:r>
              <m:t>0</m:t>
            </m:r>
          </m:sub>
        </m:sSub>
      </m:oMath>
      <w:r>
        <w:t xml:space="preserve">. The smoothing functions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To evaluate GAMs with SFE chlorophyll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We specifically build our models using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structures in</w:t>
      </w:r>
      <w:r>
        <w:t xml:space="preserve"> </w:t>
      </w:r>
      <w:r>
        <w:t xml:space="preserve">Murphy et al. (</w:t>
      </w:r>
      <w:hyperlink w:anchor="ref-Murphy19">
        <w:r>
          <w:rPr>
            <w:rStyle w:val="Hyperlink"/>
          </w:rPr>
          <w:t xml:space="preserve">2019</w:t>
        </w:r>
      </w:hyperlink>
      <w:r>
        <w:t xml:space="preserve">)</w:t>
      </w:r>
      <w:r>
        <w:t xml:space="preserve">, but present a different naming convention to better distinguish the functional components of the models.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models are shown in equations (2) and (3), denoted as</w:t>
      </w:r>
      <w:r>
        <w:t xml:space="preserve"> </w:t>
      </w:r>
      <w:r>
        <w:t xml:space="preserve">“</w:t>
      </w:r>
      <w:r>
        <w:t xml:space="preserve">Constant season</w:t>
      </w:r>
      <w:r>
        <w:t xml:space="preserve">”</w:t>
      </w:r>
      <w:r>
        <w:t xml:space="preserve"> </w:t>
      </w:r>
      <w:r>
        <w:t xml:space="preserve">and</w:t>
      </w:r>
      <w:r>
        <w:t xml:space="preserve"> </w:t>
      </w:r>
      <w:r>
        <w:t xml:space="preserve">“</w:t>
      </w:r>
      <w:r>
        <w:t xml:space="preserve">Interactive season</w:t>
      </w:r>
      <w:r>
        <w:t xml:space="preserve">”</w:t>
      </w:r>
      <w:r>
        <w:t xml:space="preserve">, respectively. We also describe the "Constant season*" model below as a slight modification of the former. Each model has a similar functional form for time in relation to chlorophyll with slight differences in the smoothers that describe time.</w:t>
      </w:r>
    </w:p>
    <w:p>
      <w:pPr>
        <w:pStyle w:val="BodyText"/>
      </w:pPr>
      <m:oMathPara>
        <m:oMathParaPr>
          <m:jc m:val="center"/>
        </m:oMathParaPr>
        <m:oMath>
          <m:r>
            <m:rPr>
              <m:sty m:val="b"/>
            </m:rPr>
            <m:t>C</m:t>
          </m:r>
          <m:r>
            <m:rPr>
              <m:sty m:val="b"/>
            </m:rPr>
            <m:t>o</m:t>
          </m:r>
          <m:r>
            <m:rPr>
              <m:sty m:val="b"/>
            </m:rPr>
            <m:t>n</m:t>
          </m:r>
          <m:r>
            <m:rPr>
              <m:sty m:val="b"/>
            </m:rPr>
            <m:t>s</m:t>
          </m:r>
          <m:r>
            <m:rPr>
              <m:sty m:val="b"/>
            </m:rPr>
            <m:t>t</m:t>
          </m:r>
          <m:r>
            <m:rPr>
              <m:sty m:val="b"/>
            </m:rPr>
            <m:t>a</m:t>
          </m:r>
          <m:r>
            <m:rPr>
              <m:sty m:val="b"/>
            </m:rPr>
            <m:t>n</m:t>
          </m:r>
          <m:r>
            <m:rPr>
              <m:sty m:val="b"/>
            </m:rPr>
            <m:t>t</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ϵ</m:t>
          </m:r>
          <m:r>
            <m:t>  </m:t>
          </m:r>
          <m:r>
            <m:t>(</m:t>
          </m:r>
          <m:r>
            <m:t>2</m:t>
          </m:r>
          <m:r>
            <m:t>)</m:t>
          </m:r>
        </m:oMath>
      </m:oMathPara>
    </w:p>
    <w:p>
      <w:pPr>
        <w:pStyle w:val="FirstParagraph"/>
      </w:pPr>
      <m:oMathPara>
        <m:oMathParaPr>
          <m:jc m:val="center"/>
        </m:oMathParaPr>
        <m:oMath>
          <m:r>
            <m:rPr>
              <m:sty m:val="b"/>
            </m:rPr>
            <m:t>I</m:t>
          </m:r>
          <m:r>
            <m:rPr>
              <m:sty m:val="b"/>
            </m:rPr>
            <m:t>n</m:t>
          </m:r>
          <m:r>
            <m:rPr>
              <m:sty m:val="b"/>
            </m:rPr>
            <m:t>t</m:t>
          </m:r>
          <m:r>
            <m:rPr>
              <m:sty m:val="b"/>
            </m:rPr>
            <m:t>e</m:t>
          </m:r>
          <m:r>
            <m:rPr>
              <m:sty m:val="b"/>
            </m:rPr>
            <m:t>r</m:t>
          </m:r>
          <m:r>
            <m:rPr>
              <m:sty m:val="b"/>
            </m:rPr>
            <m:t>a</m:t>
          </m:r>
          <m:r>
            <m:rPr>
              <m:sty m:val="b"/>
            </m:rPr>
            <m:t>c</m:t>
          </m:r>
          <m:r>
            <m:rPr>
              <m:sty m:val="b"/>
            </m:rPr>
            <m:t>t</m:t>
          </m:r>
          <m:r>
            <m:rPr>
              <m:sty m:val="b"/>
            </m:rPr>
            <m:t>i</m:t>
          </m:r>
          <m:r>
            <m:rPr>
              <m:sty m:val="b"/>
            </m:rPr>
            <m:t>v</m:t>
          </m:r>
          <m:r>
            <m:rPr>
              <m:sty m:val="b"/>
            </m:rPr>
            <m:t>e</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t</m:t>
          </m:r>
          <m:sSub>
            <m:e>
              <m:r>
                <m:t>i</m:t>
              </m:r>
            </m:e>
            <m:sub>
              <m:r>
                <m:t>1</m:t>
              </m:r>
            </m:sub>
          </m:sSub>
          <m:r>
            <m:t>(</m:t>
          </m:r>
          <m:r>
            <m:t>d</m:t>
          </m:r>
          <m:r>
            <m:t>o</m:t>
          </m:r>
          <m:r>
            <m:t>y</m:t>
          </m:r>
          <m:r>
            <m:t>,</m:t>
          </m:r>
          <m:r>
            <m:t>d</m:t>
          </m:r>
          <m:r>
            <m:t>e</m:t>
          </m:r>
          <m:r>
            <m:t>c</m:t>
          </m:r>
          <m:r>
            <m:t>Y</m:t>
          </m:r>
          <m:r>
            <m:t>e</m:t>
          </m:r>
          <m:r>
            <m:t>a</m:t>
          </m:r>
          <m:r>
            <m:t>r</m:t>
          </m:r>
          <m:r>
            <m:t>)</m:t>
          </m:r>
          <m:r>
            <m:t>+</m:t>
          </m:r>
          <m:r>
            <m:t>ϵ</m:t>
          </m:r>
          <m:r>
            <m:t>  </m:t>
          </m:r>
          <m:r>
            <m:t>(</m:t>
          </m:r>
          <m:r>
            <m:t>3</m:t>
          </m:r>
          <m:r>
            <m:t>)</m:t>
          </m:r>
        </m:oMath>
      </m:oMathPara>
    </w:p>
    <w:p>
      <w:pPr>
        <w:pStyle w:val="FirstParagraph"/>
      </w:pPr>
      <w:r>
        <w:t xml:space="preserve">For each GAM, chlorophyll was modelled using a link function</w:t>
      </w:r>
      <w:r>
        <w:t xml:space="preserve"> </w:t>
      </w:r>
      <m:oMath>
        <m:r>
          <m:t>g</m:t>
        </m:r>
        <m:r>
          <m:t>(</m:t>
        </m:r>
        <m:r>
          <m:t>)</m:t>
        </m:r>
      </m:oMath>
      <w:r>
        <w:t xml:space="preserve"> </w:t>
      </w:r>
      <w:r>
        <w:t xml:space="preserve">that relates the response variable to the independent variables</w:t>
      </w:r>
      <w:r>
        <w:t xml:space="preserve"> </w:t>
      </w:r>
      <m:oMath>
        <m:r>
          <m:t>d</m:t>
        </m:r>
        <m:r>
          <m:t>e</m:t>
        </m:r>
        <m:r>
          <m:t>c</m:t>
        </m:r>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d</m:t>
        </m:r>
        <m:r>
          <m:t>e</m:t>
        </m:r>
        <m:r>
          <m:t>c</m:t>
        </m:r>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w:t>
      </w:r>
      <w:r>
        <w:t xml:space="preserve"> </w:t>
      </w:r>
      <w:r>
        <w:t xml:space="preserve">(Wood</w:t>
      </w:r>
      <w:r>
        <w:t xml:space="preserve"> </w:t>
      </w:r>
      <w:hyperlink w:anchor="ref-Wood03">
        <w:r>
          <w:rPr>
            <w:rStyle w:val="Hyperlink"/>
          </w:rPr>
          <w:t xml:space="preserve">2003</w:t>
        </w:r>
      </w:hyperlink>
      <w:r>
        <w:t xml:space="preserve">)</w:t>
      </w:r>
      <w:r>
        <w:t xml:space="preserve">.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A challenge for optimizing GAMs to time series data with significant intra- and interannual variation is choosing an appropriate functional form (i.e., equation (2) or (3)) and determining how much variation could be explained by the smoothers in each function. The two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 and</w:t>
      </w:r>
      <w:r>
        <w:t xml:space="preserve"> </w:t>
      </w:r>
      <m:oMath>
        <m:r>
          <m:t>t</m:t>
        </m:r>
        <m:sSub>
          <m:e>
            <m:r>
              <m:t>i</m:t>
            </m:r>
          </m:e>
          <m:sub>
            <m:r>
              <m:t>1</m:t>
            </m:r>
          </m:sub>
        </m:sSub>
        <m:r>
          <m:t>(</m:t>
        </m:r>
        <m:r>
          <m:t>)</m:t>
        </m:r>
      </m:oMath>
      <w:r>
        <w:t xml:space="preserve">) require user input on the potential upper limit for how much variation could be explained by the predictors during model fitting. Each smoother is approximated by multiple, localized spline functions that are connected by knots (</w:t>
      </w:r>
      <w:r>
        <w:rPr>
          <w:i/>
        </w:rPr>
        <w:t xml:space="preserve">k</w:t>
      </w:r>
      <w:r>
        <w:t xml:space="preserve">-values) to create a continuous function. Increasing the number of knots creates a smoother fit of the response variable against the predictor, whereas choosing a small number of knots creates a more rigid function that may underfit the data. Initial testing by</w:t>
      </w:r>
      <w:r>
        <w:t xml:space="preserve"> </w:t>
      </w:r>
      <w:r>
        <w:t xml:space="preserve">Murphy et al. (</w:t>
      </w:r>
      <w:hyperlink w:anchor="ref-Murphy19">
        <w:r>
          <w:rPr>
            <w:rStyle w:val="Hyperlink"/>
          </w:rPr>
          <w:t xml:space="preserve">2019</w:t>
        </w:r>
      </w:hyperlink>
      <w:r>
        <w:t xml:space="preserve">)</w:t>
      </w:r>
      <w:r>
        <w:t xml:space="preserve"> </w:t>
      </w:r>
      <w:r>
        <w:t xml:space="preserve">showed that the default</w:t>
      </w:r>
      <w:r>
        <w:t xml:space="preserve"> </w:t>
      </w:r>
      <w:r>
        <w:rPr>
          <w:i/>
        </w:rPr>
        <w:t xml:space="preserve">k</w:t>
      </w:r>
      <w:r>
        <w:t xml:space="preserve"> </w:t>
      </w:r>
      <w:r>
        <w:t xml:space="preserve">values in the mgcv package were insufficient for describing the interannual variation in chlorophyll data from Chesapeake Bay. The upper limit for the number of knots for the</w:t>
      </w:r>
      <w:r>
        <w:t xml:space="preserve"> </w:t>
      </w:r>
      <m:oMath>
        <m:sSub>
          <m:e>
            <m:r>
              <m:t>s</m:t>
            </m:r>
          </m:e>
          <m:sub>
            <m:r>
              <m:t>2</m:t>
            </m:r>
          </m:sub>
        </m:sSub>
        <m:r>
          <m:t>(</m:t>
        </m:r>
        <m:r>
          <m:t>d</m:t>
        </m:r>
        <m:r>
          <m:t>e</m:t>
        </m:r>
        <m:r>
          <m:t>c</m:t>
        </m:r>
        <m:r>
          <m:t>Y</m:t>
        </m:r>
        <m:r>
          <m:t>e</m:t>
        </m:r>
        <m:r>
          <m:t>a</m:t>
        </m:r>
        <m:r>
          <m:t>r</m:t>
        </m:r>
        <m:r>
          <m:t>)</m:t>
        </m:r>
      </m:oMath>
      <w:r>
        <w:t xml:space="preserve"> </w:t>
      </w:r>
      <w:r>
        <w:t xml:space="preserve">smoother was modified from the default value to the maximum between 10 or</w:t>
      </w:r>
      <w:r>
        <w:t xml:space="preserve"> </w:t>
      </w:r>
      <m:oMath>
        <m:r>
          <m:t>2</m:t>
        </m:r>
        <m:r>
          <m:t>/</m:t>
        </m:r>
        <m:r>
          <m:t>3</m:t>
        </m:r>
        <m:r>
          <m:t>×</m:t>
        </m:r>
      </m:oMath>
      <w:r>
        <w:t xml:space="preserve"> </w:t>
      </w:r>
      <w:r>
        <w:t xml:space="preserve">the number of years in the time series. We follow the same approach herein both models.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an extension of the constant season model was also added as "Constant season*", where the total number of knots for the</w:t>
      </w:r>
      <w:r>
        <w:t xml:space="preserve"> </w:t>
      </w:r>
      <m:oMath>
        <m:r>
          <m:t>d</m:t>
        </m:r>
        <m:r>
          <m:t>e</m:t>
        </m:r>
        <m:r>
          <m:t>c</m:t>
        </m:r>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d</m:t>
        </m:r>
        <m:r>
          <m:t>e</m:t>
        </m:r>
        <m:r>
          <m:t>c</m:t>
        </m:r>
        <m:r>
          <m:t>Y</m:t>
        </m:r>
        <m:r>
          <m:t>e</m:t>
        </m:r>
        <m:r>
          <m:t>a</m:t>
        </m:r>
        <m:r>
          <m:t>r</m:t>
        </m:r>
      </m:oMath>
      <w:r>
        <w:t xml:space="preserve"> </w:t>
      </w:r>
      <w:r>
        <w:t xml:space="preserve">to be unconstrained in how much variance is fit within and between years.</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satisfying assumptions for GAMs. The Box-Cox method was also used to transform chlorophyll as a comparison to the logarithmic transformation</w:t>
      </w:r>
      <w:r>
        <w:t xml:space="preserve"> </w:t>
      </w:r>
      <w:r>
        <w:t xml:space="preserve">(Box and Cox</w:t>
      </w:r>
      <w:r>
        <w:t xml:space="preserve"> </w:t>
      </w:r>
      <w:hyperlink w:anchor="ref-Box64">
        <w:r>
          <w:rPr>
            <w:rStyle w:val="Hyperlink"/>
          </w:rPr>
          <w:t xml:space="preserve">1964</w:t>
        </w:r>
      </w:hyperlink>
      <w:r>
        <w:t xml:space="preserve">)</w:t>
      </w:r>
      <w:r>
        <w:t xml:space="preserve">.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function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4</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estimated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(4) is only appropriate for positive values of a response variable, as for chlorophyll.</w:t>
      </w:r>
    </w:p>
    <w:p>
      <w:pPr>
        <w:pStyle w:val="BodyText"/>
      </w:pPr>
      <w:r>
        <w:t xml:space="preserve">All models were compared using standard summary statistics describing overall model fit to the observed data. In addition to the Generalized Cross-Validation score provided by the mgcv package,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2" w:name="using-gams-to-evaluate-trends"/>
      <w:r>
        <w:t xml:space="preserve">Using GAMs to evaluate trends</w:t>
      </w:r>
      <w:bookmarkEnd w:id="32"/>
    </w:p>
    <w:p>
      <w:pPr>
        <w:pStyle w:val="FirstParagraph"/>
      </w:pPr>
      <w:r>
        <w:t xml:space="preserve">Each of the GAM structures provided different approaches to quantify long-term variation in annual and seasonal changes. Although useful as a general approach to view functional forms for different time series, additional information on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w:t>
      </w:r>
      <w:r>
        <w:t xml:space="preserve"> </w:t>
      </w:r>
      <w:r>
        <w:t xml:space="preserve">(Murphy et al.</w:t>
      </w:r>
      <w:r>
        <w:t xml:space="preserve">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First, for two time periods of interest, trends were estimated as the difference in means from the GAM results between the periods, an estimate of percent change, and an estimate of statistical certainty of the comparison.</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5</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6</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trend test evaluated changes in seasonal estimates between years using results from a fitted GAM. This test provided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decYear</w:t>
      </w:r>
      <w:r>
        <w:t xml:space="preserve">,</w:t>
      </w:r>
      <w:r>
        <w:t xml:space="preserve"> </w:t>
      </w:r>
      <w:r>
        <w:rPr>
          <w:rStyle w:val="VerbatimChar"/>
        </w:rPr>
        <w:t xml:space="preserve">doy</w:t>
      </w:r>
      <w:r>
        <w:t xml:space="preserve">) covering defined seasons in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was obtained that provided a parameter vector for the supplied covariate values. This predictor matrix was then used to estimate the mean seasonal value within a year and associated variance using the sum of predictions from the matrix. As a result, each year had a mean value of chlorophyll with an associated confidence interval that describes the modelled expectation for the seasonal period.</w:t>
      </w:r>
    </w:p>
    <w:p>
      <w:pPr>
        <w:pStyle w:val="BodyText"/>
      </w:pPr>
      <w:r>
        <w:t xml:space="preserve">Although the seasonal averages obtained from GAMs described the expected values for each year, describing the direction and magnitude of the seasonal change across years was also of interest. Conventionally, trend analysis of changes in a response variable could be achieved with ordinary least squares regression, where the response variable is the expected seasonal value of chlorophyll and the predictor is year as a numeric value. Although this approach could be used to estimate a seasonal rate of change, the linear fit through the seasonal means does not account for the variance in the seasonal averages. To address this issue, we use mixed-effects regression meta-analysis (mixed-meta hereafter) to evaluate seasonal changes and their uncertainty over a finite set of years. This analysis is an extension of conventional regression by accounting for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7</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deviation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chlorophyll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(i.e., slope and intercept estimates), although parameter uncertainty is more accurately estimated with mixed meta-analysis.</w:t>
      </w:r>
    </w:p>
    <w:p>
      <w:pPr>
        <w:pStyle w:val="Heading2"/>
      </w:pPr>
      <w:bookmarkStart w:id="33" w:name="model-application-and-interpretation"/>
      <w:r>
        <w:t xml:space="preserve">Model application and interpretation</w:t>
      </w:r>
      <w:bookmarkEnd w:id="33"/>
    </w:p>
    <w:p>
      <w:pPr>
        <w:pStyle w:val="FirstParagraph"/>
      </w:pPr>
      <w:r>
        <w:t xml:space="preserve">Each of the three GAM structures (constant season, interactive season, and constant season*)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 terms. Models were also evaluated using different transformations to determine which had improved fit for specific time series. Trend analyses with fitted GAM predictions were also compared between stations and model types, particularly to determine if and when significant results varied with alternative methods. Temporal and spatial patterns within and between stations were also identified to better quantity changes in chlorophyll production throughout the period of record using GAMs to demonstrate improved descriptions relative to interpretations from the observed data.</w:t>
      </w:r>
    </w:p>
    <w:p>
      <w:pPr>
        <w:pStyle w:val="Heading1"/>
      </w:pPr>
      <w:bookmarkStart w:id="34" w:name="results"/>
      <w:r>
        <w:t xml:space="preserve">Results</w:t>
      </w:r>
      <w:bookmarkEnd w:id="34"/>
    </w:p>
    <w:p>
      <w:pPr>
        <w:pStyle w:val="Heading2"/>
      </w:pPr>
      <w:bookmarkStart w:id="35" w:name="model-performance-and-observed-results"/>
      <w:r>
        <w:t xml:space="preserve">Model performance and observed results</w:t>
      </w:r>
      <w:bookmarkEnd w:id="35"/>
    </w:p>
    <w:p>
      <w:pPr>
        <w:pStyle w:val="FirstParagraph"/>
      </w:pPr>
      <w:r>
        <w:t xml:space="preserve">A total of six models (three GAM structures, two link functions) were fit to each of nine stations, producing summary statistics for 18 different models (Table</w:t>
      </w:r>
      <w:r>
        <w:t xml:space="preserve"> </w:t>
      </w:r>
      <w:r>
        <w:t xml:space="preserve">3</w:t>
      </w:r>
      <w:r>
        <w:t xml:space="preserve">). Chlorophyll trends were generally well-explained across all models and stations, with an average R-squared value equal to 53% and ranging from 37% (Const seas log-model at station 34) to 77% (Const seas* log-model at station 32). The constant season model had the worst performance for all stations (average R</w:t>
      </w:r>
      <m:oMath>
        <m:sSup>
          <m:e>
            <m:r>
              <m:t>​</m:t>
            </m:r>
          </m:e>
          <m:sup>
            <m:r>
              <m:t>2</m:t>
            </m:r>
          </m:sup>
        </m:sSup>
      </m:oMath>
      <w:r>
        <w:t xml:space="preserve"> </w:t>
      </w:r>
      <w:r>
        <w:t xml:space="preserve">44%), with either the interactive season or constant season* model having improved measures of model fit. For all but stations 18 and 22, the constant season* model provided significantly lower AIC and GCV scores and higher R-squared values compared to the interactive season models. For station 18, the interactive season and constant season* models provided only a marginal improvement over the constant season model. For station 22, the interactive season and constant season* models provided similar but much improved fit to the data as compared to the constant season model. Moeel performance comparing either Box-Cox or logarithmic link functions were similar (average R</w:t>
      </w:r>
      <m:oMath>
        <m:sSup>
          <m:e>
            <m:r>
              <m:t>​</m:t>
            </m:r>
          </m:e>
          <m:sup>
            <m:r>
              <m:t>2</m:t>
            </m:r>
          </m:sup>
        </m:sSup>
      </m:oMath>
      <w:r>
        <w:t xml:space="preserve"> </w:t>
      </w:r>
      <w:r>
        <w:t xml:space="preserve">values of 54% and 53% respectively), although the logarithmic models had slightly improved model performance. Station 18 was the only location where the three GAM models were not significantly different from each other for the Box-Cox transformation.</w:t>
      </w:r>
    </w:p>
    <w:p>
      <w:pPr>
        <w:pStyle w:val="BodyText"/>
      </w:pPr>
      <w:r>
        <w:t xml:space="preserve">GAM predictions from north to south on the longitudinal axis provided different descriptions of annual and seasonal changes in chlorophyll. Four representative stations are shown in Figure</w:t>
      </w:r>
      <w:r>
        <w:t xml:space="preserve"> </w:t>
      </w:r>
      <w:r>
        <w:t xml:space="preserve">5</w:t>
      </w:r>
      <w:r>
        <w:t xml:space="preserve"> </w:t>
      </w:r>
      <w:r>
        <w:t xml:space="preserve">that capture spatial variation in chlorophyll and different temporal trends described by the models.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However, the magnitude of the fall peak at more southern stations shifted over time depending on the model. In particular, the interactive season model indicates a shift in the magnitude of the fall peak at stations 24, 27, and 32 with maximum concentrations observed around the mid-early 2000s. The annual trends for all models suggested similar trends over time, i.e., an increase followed by a recent decrease, whereas the constant season* models with an unconstrained smoother on the</w:t>
      </w:r>
      <w:r>
        <w:t xml:space="preserve"> </w:t>
      </w:r>
      <w:r>
        <w:rPr>
          <w:rStyle w:val="VerbatimChar"/>
        </w:rPr>
        <w:t xml:space="preserve">decYear</w:t>
      </w:r>
      <w:r>
        <w:t xml:space="preserve"> </w:t>
      </w:r>
      <w:r>
        <w:t xml:space="preserve">predictor varied considerably at station 24, 27, and 32. Annual trends at these stations were difficult to generalize and had substantial overlap with the seasonal trends. Conversely, station 18 had minimal visual differences in annual and seasonal trends across all models, which is reflected by similarities in the model performance statistics in Table</w:t>
      </w:r>
      <w:r>
        <w:t xml:space="preserve"> </w:t>
      </w:r>
      <w:r>
        <w:t xml:space="preserve">3</w:t>
      </w:r>
      <w:r>
        <w:t xml:space="preserve">.</w:t>
      </w:r>
    </w:p>
    <w:p>
      <w:pPr>
        <w:pStyle w:val="Heading2"/>
      </w:pPr>
      <w:bookmarkStart w:id="36" w:name="trend-estimates"/>
      <w:r>
        <w:t xml:space="preserve">Trend estimates</w:t>
      </w:r>
      <w:bookmarkEnd w:id="36"/>
    </w:p>
    <w:p>
      <w:pPr>
        <w:pStyle w:val="FirstParagraph"/>
      </w:pPr>
      <w:r>
        <w:t xml:space="preserve">Examples of results provided by the trend tests are shown for station 34, with estimates of percent change between year pairs and seasonal trend results for January to July and August to December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indicated if changes overall were observed,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suggested that the increase in annual averages from 2000 to 2010 was likely caused by an increase in chlorophyll values in the fall (Figure</w:t>
      </w:r>
      <w:r>
        <w:t xml:space="preserve"> </w:t>
      </w:r>
      <w:r>
        <w:t xml:space="preserve">5</w:t>
      </w:r>
      <w:r>
        <w:t xml:space="preserve">h). Seasonal changes from 2010 to 2017 showed that neither the January to July nor August to December changes were significant, suggesting an overall decrease in chlorophyll across all seasons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January to July and August to December (Figure</w:t>
      </w:r>
      <w:r>
        <w:t xml:space="preserve"> </w:t>
      </w:r>
      <w:r>
        <w:t xml:space="preserve">6</w:t>
      </w:r>
      <w:r>
        <w:t xml:space="preserve">b).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4</w:t>
      </w:r>
      <w:r>
        <w:t xml:space="preserve">). Many stations and time periods did not show any seasonal chlorophyll trends or only had one significant trend (e.g., stations 21 and 24, JFM period from 2000-2010). However, several trends were observed in the southern stations, with two significant trends at station 32, six at station 34, and three at station 36. Trends at station 32 indicated a positive increase in the JFM (January, February, March) period from 2000-2010, followed by a significant decrease for the same seasonal period from 2010-2016. Station 34 had significant increases in the JFM period from 1990-2010 and all other periods the OND (October, November, December) period for 2000 to 2010. Significant decreases were observed at station 34 in the JFM and AMJ (April, March, July) period from 2010 to 2016. Station 36 had significant chlorophyll increases in all seasons, except OND for the 1990 to 2000 period. Accordingly, table</w:t>
      </w:r>
      <w:r>
        <w:t xml:space="preserve"> </w:t>
      </w:r>
      <w:r>
        <w:t xml:space="preserve">4</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Heading2"/>
      </w:pPr>
      <w:bookmarkStart w:id="37" w:name="trend-comparisons"/>
      <w:r>
        <w:t xml:space="preserve">Trend comparisons</w:t>
      </w:r>
      <w:bookmarkEnd w:id="37"/>
    </w:p>
    <w:p>
      <w:pPr>
        <w:pStyle w:val="FirstParagraph"/>
      </w:pPr>
      <w:r>
        <w:t xml:space="preserve">Trends results from the mixed-meta regression method for each season and different time periods were compared to alternative trend analyses to demonstrate different conclusions that can be derived depending on method. Figure</w:t>
      </w:r>
      <w:r>
        <w:t xml:space="preserve"> </w:t>
      </w:r>
      <w:r>
        <w:t xml:space="preserve">7</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trend methods were used where the first shows slope estimates from a linear regression on annual averages of observed chlorophyll for the specified seasonal period and the second shows slope estimates from a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7</w:t>
      </w:r>
      <w:r>
        <w:t xml:space="preserve">). The slope estimates from the linear model applied to the observed data were understandably more variable than the slope estimate from the average and mixed-meta methods, with much larger slopes observed especially at the more southern stations. Slope estimates from the linear model applied to the averages from the GAMs as compared ot the mixed-meta results were identical at almost all stations, excluding station 32 in the January-July period from 1990-2000 when the former showed a negative slope and the latter showed a positive slope.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38" w:name="discussion"/>
      <w:r>
        <w:t xml:space="preserve">Discussion</w:t>
      </w:r>
      <w:bookmarkEnd w:id="38"/>
    </w:p>
    <w:p>
      <w:pPr>
        <w:pStyle w:val="Heading1"/>
      </w:pPr>
      <w:bookmarkStart w:id="39" w:name="conclusions"/>
      <w:r>
        <w:t xml:space="preserve">Conclusions</w:t>
      </w:r>
      <w:bookmarkEnd w:id="39"/>
    </w:p>
    <w:p>
      <w:pPr>
        <w:pStyle w:val="Heading1"/>
      </w:pPr>
      <w:bookmarkStart w:id="40" w:name="acknowledgments"/>
      <w:r>
        <w:t xml:space="preserve">Acknowledgments</w:t>
      </w:r>
      <w:bookmarkEnd w:id="40"/>
    </w:p>
    <w:p>
      <w:pPr>
        <w:pStyle w:val="Heading1"/>
      </w:pPr>
      <w:bookmarkStart w:id="41" w:name="figures"/>
      <w:r>
        <w:t xml:space="preserve">Figures</w:t>
      </w:r>
      <w:bookmarkEnd w:id="41"/>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3"/>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4"/>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5"/>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6"/>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4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4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49" w:name="tables"/>
      <w:r>
        <w:t xml:space="preserve">Tables</w:t>
      </w:r>
      <w:bookmarkEnd w:id="49"/>
    </w:p>
    <w:p>
      <w:pPr>
        <w:pStyle w:val="Compact"/>
        <w:pStyle w:val=""/>
      </w:pPr>
      <w:r>
        <w:t xml:space="preserve">Table 1: Station locations, sample sizes, and median values for salinity,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logarithmic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50" w:name="supplement"/>
      <w:r>
        <w:t xml:space="preserve">Supplement</w:t>
      </w:r>
      <w:bookmarkEnd w:id="50"/>
    </w:p>
    <w:p>
      <w:pPr>
        <w:pStyle w:val="Heading1"/>
      </w:pPr>
      <w:bookmarkStart w:id="51" w:name="references"/>
      <w:r>
        <w:t xml:space="preserve">References</w:t>
      </w:r>
      <w:bookmarkEnd w:id="51"/>
    </w:p>
    <w:bookmarkStart w:id="84" w:name="refs"/>
    <w:bookmarkStart w:id="52" w:name="ref-Beck15"/>
    <w:p>
      <w:pPr>
        <w:pStyle w:val="Bibliography"/>
      </w:pPr>
      <w:r>
        <w:t xml:space="preserve">Beck, M. W., and J. D. Hagy III. 2015. Adaptation of a weighted regression approach to evaluate water quality trends in an estuary. Environmental Modelling and Assessment 20:637–655.</w:t>
      </w:r>
    </w:p>
    <w:bookmarkEnd w:id="52"/>
    <w:bookmarkStart w:id="53"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3"/>
    <w:bookmarkStart w:id="54" w:name="ref-Box64"/>
    <w:p>
      <w:pPr>
        <w:pStyle w:val="Bibliography"/>
      </w:pPr>
      <w:r>
        <w:t xml:space="preserve">Box, G. E. P., and D. R. Cox. 1964. An analysis of transformations (with discussion). Journal of the Royal Statistical Society (B) 26:211–252.</w:t>
      </w:r>
    </w:p>
    <w:bookmarkEnd w:id="54"/>
    <w:bookmarkStart w:id="55" w:name="ref-Cleveland90"/>
    <w:p>
      <w:pPr>
        <w:pStyle w:val="Bibliography"/>
      </w:pPr>
      <w:r>
        <w:t xml:space="preserve">Cleveland, R. B., W. S. Cleveland, J. E. McRae, and I. Terpenning. 1990. STL: A seasonal-trend decomposition procedure based on Loess. Journal of Official Statistics 6:3–73.</w:t>
      </w:r>
    </w:p>
    <w:bookmarkEnd w:id="55"/>
    <w:bookmarkStart w:id="56" w:name="ref-Cloern10"/>
    <w:p>
      <w:pPr>
        <w:pStyle w:val="Bibliography"/>
      </w:pPr>
      <w:r>
        <w:t xml:space="preserve">Cloern, J. E., and A. D. Jassby. 2010. Patterns and scales of phytoplankton variability in estuarine-coastal ecosystems. Estuaries and Coasts 33:230–241.</w:t>
      </w:r>
    </w:p>
    <w:bookmarkEnd w:id="56"/>
    <w:bookmarkStart w:id="57" w:name="ref-Cloern16"/>
    <w:p>
      <w:pPr>
        <w:pStyle w:val="Bibliography"/>
      </w:pPr>
      <w:r>
        <w:t xml:space="preserve">Cloern, J. E., and T. S. Schraga. 2016. USGS measurements of water quality in San Francisco Bay (CA), 1969-2015: U.S. Geological Survey data release. https://doi.org/10.5066/F7TQ5ZPR.</w:t>
      </w:r>
    </w:p>
    <w:bookmarkEnd w:id="57"/>
    <w:bookmarkStart w:id="58" w:name="ref-Cloern20"/>
    <w:p>
      <w:pPr>
        <w:pStyle w:val="Bibliography"/>
      </w:pPr>
      <w:r>
        <w:t xml:space="preserve">Cloern, J. E., T. S. Shcraga, E. Nejad, and C. Martin. 2020. Nutrient status of San Francisco Bay and its management implications. Estuaries &amp; Coasts 43:1299–1317.</w:t>
      </w:r>
    </w:p>
    <w:bookmarkEnd w:id="58"/>
    <w:bookmarkStart w:id="59" w:name="ref-Cumming06"/>
    <w:p>
      <w:pPr>
        <w:pStyle w:val="Bibliography"/>
      </w:pPr>
      <w:r>
        <w:t xml:space="preserve">Cumming, G. S., D. H. M. Cumming, and C. L. Redman. 2006. Scale mismatches in social-ecological systems: Causes, consequences, and solutions. Ecology and Society 11:14.</w:t>
      </w:r>
    </w:p>
    <w:bookmarkEnd w:id="59"/>
    <w:bookmarkStart w:id="60" w:name="ref-Enting87"/>
    <w:p>
      <w:pPr>
        <w:pStyle w:val="Bibliography"/>
      </w:pPr>
      <w:r>
        <w:t xml:space="preserve">Enting, I. G. 1987. On the use of smoothing splines to filter co</w:t>
      </w:r>
      <m:oMath>
        <m:sSub>
          <m:e>
            <m:r>
              <m:t>​</m:t>
            </m:r>
          </m:e>
          <m:sub>
            <m:r>
              <m:t>2</m:t>
            </m:r>
          </m:sub>
        </m:sSub>
      </m:oMath>
      <w:r>
        <w:t xml:space="preserve"> </w:t>
      </w:r>
      <w:r>
        <w:t xml:space="preserve">data. Journal of Geophysical Research 92:10977–10984.</w:t>
      </w:r>
    </w:p>
    <w:bookmarkEnd w:id="60"/>
    <w:bookmarkStart w:id="61" w:name="ref-Forbes18"/>
    <w:p>
      <w:pPr>
        <w:pStyle w:val="Bibliography"/>
      </w:pPr>
      <w:r>
        <w:t xml:space="preserve">Forbes, D. J., and Z. Xie. 2018. Identifying process scales in the Indian River Lagoon, Florida using wavelet transform analysis of dissolved oxygen. Ecological Complexity 36:149–167.</w:t>
      </w:r>
    </w:p>
    <w:bookmarkEnd w:id="61"/>
    <w:bookmarkStart w:id="62" w:name="ref-Gasparrini12"/>
    <w:p>
      <w:pPr>
        <w:pStyle w:val="Bibliography"/>
      </w:pPr>
      <w:r>
        <w:t xml:space="preserve">Gasparrini, A., B. Armstrong, and M. G. Kenward. 2012. Multivariate meta-analysis for non-linear and other multi-parameter associations. Statistics in Medicine 31:3821–3839.</w:t>
      </w:r>
    </w:p>
    <w:bookmarkEnd w:id="62"/>
    <w:bookmarkStart w:id="63"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63"/>
    <w:bookmarkStart w:id="64" w:name="ref-Hastie90"/>
    <w:p>
      <w:pPr>
        <w:pStyle w:val="Bibliography"/>
      </w:pPr>
      <w:r>
        <w:t xml:space="preserve">Hastie, T. J., and R. J. Tibshirani. 1990. Generalized additive models. Page 335. Chapman; Hall, London, New York.</w:t>
      </w:r>
    </w:p>
    <w:bookmarkEnd w:id="64"/>
    <w:bookmarkStart w:id="65" w:name="ref-He06"/>
    <w:p>
      <w:pPr>
        <w:pStyle w:val="Bibliography"/>
      </w:pPr>
      <w:r>
        <w:t xml:space="preserve">He, S., S. Mazumdar, and V. C. Arena. 2006. A comparative study of the use of GAM and GLM in air pollution research. Environmetrics 17:81–93.</w:t>
      </w:r>
    </w:p>
    <w:bookmarkEnd w:id="65"/>
    <w:bookmarkStart w:id="66"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66"/>
    <w:bookmarkStart w:id="67"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67"/>
    <w:bookmarkStart w:id="68" w:name="ref-Hirsch82"/>
    <w:p>
      <w:pPr>
        <w:pStyle w:val="Bibliography"/>
      </w:pPr>
      <w:r>
        <w:t xml:space="preserve">Hirsch, R. M., J. R. Slack, and R. A. Smith. 1982. Techniques of trend analysis for monthly water quality data. Water Resources Research 18:107–121.</w:t>
      </w:r>
    </w:p>
    <w:bookmarkEnd w:id="68"/>
    <w:bookmarkStart w:id="69"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69"/>
    <w:bookmarkStart w:id="70"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70"/>
    <w:bookmarkStart w:id="71" w:name="ref-Morton08"/>
    <w:p>
      <w:pPr>
        <w:pStyle w:val="Bibliography"/>
      </w:pPr>
      <w:r>
        <w:t xml:space="preserve">Morton, R., and B. L. Henderson. 2008. Estimation of nonlinear trends in water quality: An improved approach using generalized additive models. Water Resources Research 44:W07420.</w:t>
      </w:r>
    </w:p>
    <w:bookmarkEnd w:id="71"/>
    <w:bookmarkStart w:id="72"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72"/>
    <w:bookmarkStart w:id="73"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73"/>
    <w:bookmarkStart w:id="7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74"/>
    <w:bookmarkStart w:id="75" w:name="ref-Sera19"/>
    <w:p>
      <w:pPr>
        <w:pStyle w:val="Bibliography"/>
      </w:pPr>
      <w:r>
        <w:t xml:space="preserve">Sera, F., B. Armstrong, M. Blangiardo, and A. Gasparrini. 2019. An extended mixed-effects framework for meta-analysis. Statistics in Medicine 38:5429–5444.</w:t>
      </w:r>
    </w:p>
    <w:bookmarkEnd w:id="75"/>
    <w:bookmarkStart w:id="76"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76"/>
    <w:bookmarkStart w:id="77"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77"/>
    <w:bookmarkStart w:id="78" w:name="ref-Urquhart98"/>
    <w:p>
      <w:pPr>
        <w:pStyle w:val="Bibliography"/>
      </w:pPr>
      <w:r>
        <w:t xml:space="preserve">Urquhart, N. S., S. G. Paulsen, and D. P. Larsen. 1998. Monitoring for policy-relevant regional trends over time. Ecological Applications 8:246–257.</w:t>
      </w:r>
    </w:p>
    <w:bookmarkEnd w:id="78"/>
    <w:bookmarkStart w:id="79" w:name="ref-Venables02"/>
    <w:p>
      <w:pPr>
        <w:pStyle w:val="Bibliography"/>
      </w:pPr>
      <w:r>
        <w:t xml:space="preserve">Venables, W. N., and B. D. Ripley. 2002. Modern applied statistics with S. Fourth. Springer-Verlag, New York, New York.</w:t>
      </w:r>
    </w:p>
    <w:bookmarkEnd w:id="79"/>
    <w:bookmarkStart w:id="80" w:name="ref-Wan17"/>
    <w:p>
      <w:pPr>
        <w:pStyle w:val="Bibliography"/>
      </w:pPr>
      <w:r>
        <w:t xml:space="preserve">Wan, Y., L. Wan, Y. Li, and P. Doering. 2017. Decadal and seasonal trends of nutrient concentration and export from highly managed coastal catchments. Water Research 115:180–194.</w:t>
      </w:r>
    </w:p>
    <w:bookmarkEnd w:id="80"/>
    <w:bookmarkStart w:id="81" w:name="ref-Wood03"/>
    <w:p>
      <w:pPr>
        <w:pStyle w:val="Bibliography"/>
      </w:pPr>
      <w:r>
        <w:t xml:space="preserve">Wood, S. N. 2003. Thin-plate regression splines. Journal of the Royal Statistical Society (B) 65:95–114.</w:t>
      </w:r>
    </w:p>
    <w:bookmarkEnd w:id="81"/>
    <w:bookmarkStart w:id="82" w:name="ref-Wood17"/>
    <w:p>
      <w:pPr>
        <w:pStyle w:val="Bibliography"/>
      </w:pPr>
      <w:r>
        <w:t xml:space="preserve">Wood, S. N. 2017. Generalized additive models: An introduction with r. Page 476. 2nd editions. Chapman; Hall, CRC Press, London, United Kingdom.</w:t>
      </w:r>
    </w:p>
    <w:bookmarkEnd w:id="82"/>
    <w:bookmarkStart w:id="83" w:name="ref-Yang20"/>
    <w:p>
      <w:pPr>
        <w:pStyle w:val="Bibliography"/>
      </w:pPr>
      <w:r>
        <w:t xml:space="preserve">Yang, G., and D. L. Moyer. 2020. Estimation of nonlinear water-quality trends in high-frequency monitoring data. Science of The Total Enviornment 715:10.1016/j.scitotenv.2020.136686.</w:t>
      </w:r>
    </w:p>
    <w:bookmarkEnd w:id="83"/>
    <w:bookmarkEnd w:id="8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2020-09-24T17:19:08Z</dcterms:created>
  <dcterms:modified xsi:type="dcterms:W3CDTF">2020-09-24T17:19:08Z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